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eastAsia="方正小标宋简体"/>
          <w:sz w:val="36"/>
          <w:szCs w:val="36"/>
        </w:rPr>
      </w:pPr>
    </w:p>
    <w:p>
      <w:pPr>
        <w:widowControl/>
        <w:snapToGrid w:val="0"/>
        <w:ind w:left="-424" w:leftChars="-202"/>
        <w:jc w:val="center"/>
        <w:rPr>
          <w:rFonts w:ascii="方正小标宋简体" w:hAnsi="方正小标宋简体" w:eastAsia="方正小标宋简体" w:cs="方正小标宋简体"/>
          <w:kern w:val="0"/>
          <w:sz w:val="36"/>
          <w:szCs w:val="36"/>
        </w:rPr>
      </w:pPr>
      <w:bookmarkStart w:id="0" w:name="_GoBack"/>
      <w:bookmarkEnd w:id="0"/>
      <w:r>
        <w:rPr>
          <w:rFonts w:hint="eastAsia" w:ascii="方正小标宋简体" w:hAnsi="方正小标宋简体" w:eastAsia="方正小标宋简体" w:cs="方正小标宋简体"/>
          <w:kern w:val="0"/>
          <w:sz w:val="36"/>
          <w:szCs w:val="36"/>
        </w:rPr>
        <w:t>水利</w:t>
      </w:r>
      <w:r>
        <w:rPr>
          <w:rFonts w:hint="eastAsia" w:ascii="方正小标宋简体" w:hAnsi="方正小标宋简体" w:eastAsia="方正小标宋简体" w:cs="方正小标宋简体"/>
          <w:b/>
          <w:kern w:val="0"/>
          <w:sz w:val="36"/>
          <w:szCs w:val="36"/>
        </w:rPr>
        <w:t>工程建设项目</w:t>
      </w:r>
      <w:r>
        <w:rPr>
          <w:rFonts w:hint="eastAsia" w:ascii="方正小标宋简体" w:hAnsi="方正小标宋简体" w:eastAsia="方正小标宋简体" w:cs="方正小标宋简体"/>
          <w:kern w:val="0"/>
          <w:sz w:val="36"/>
          <w:szCs w:val="36"/>
        </w:rPr>
        <w:t>生产安全重大事故隐患清单指南</w:t>
      </w:r>
    </w:p>
    <w:p>
      <w:pPr>
        <w:widowControl/>
        <w:snapToGrid w:val="0"/>
        <w:ind w:left="-424" w:leftChars="-202"/>
        <w:jc w:val="center"/>
        <w:rPr>
          <w:rFonts w:ascii="Calibri" w:hAnsi="Calibri" w:eastAsia="仿宋_GB2312" w:cs="Times New Roman"/>
          <w:kern w:val="0"/>
          <w:sz w:val="36"/>
          <w:szCs w:val="36"/>
        </w:rPr>
      </w:pPr>
    </w:p>
    <w:tbl>
      <w:tblPr>
        <w:tblStyle w:val="3"/>
        <w:tblW w:w="9640" w:type="dxa"/>
        <w:tblInd w:w="-176" w:type="dxa"/>
        <w:tblLayout w:type="fixed"/>
        <w:tblCellMar>
          <w:top w:w="0" w:type="dxa"/>
          <w:left w:w="108" w:type="dxa"/>
          <w:bottom w:w="0" w:type="dxa"/>
          <w:right w:w="108" w:type="dxa"/>
        </w:tblCellMar>
      </w:tblPr>
      <w:tblGrid>
        <w:gridCol w:w="660"/>
        <w:gridCol w:w="975"/>
        <w:gridCol w:w="1386"/>
        <w:gridCol w:w="1658"/>
        <w:gridCol w:w="4961"/>
      </w:tblGrid>
      <w:tr>
        <w:tblPrEx>
          <w:tblCellMar>
            <w:top w:w="0" w:type="dxa"/>
            <w:left w:w="108" w:type="dxa"/>
            <w:bottom w:w="0" w:type="dxa"/>
            <w:right w:w="108" w:type="dxa"/>
          </w:tblCellMar>
        </w:tblPrEx>
        <w:trPr>
          <w:trHeight w:val="719" w:hRule="atLeast"/>
          <w:tblHead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类别</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管理环节</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隐患编号</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隐患内容</w:t>
            </w:r>
          </w:p>
        </w:tc>
      </w:tr>
      <w:tr>
        <w:tblPrEx>
          <w:tblCellMar>
            <w:top w:w="0" w:type="dxa"/>
            <w:left w:w="108" w:type="dxa"/>
            <w:bottom w:w="0" w:type="dxa"/>
            <w:right w:w="108" w:type="dxa"/>
          </w:tblCellMar>
        </w:tblPrEx>
        <w:trPr>
          <w:trHeight w:val="1784"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w:t>
            </w:r>
          </w:p>
        </w:tc>
        <w:tc>
          <w:tcPr>
            <w:tcW w:w="975"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基础</w:t>
            </w:r>
          </w:p>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管理</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资质和人员管理</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SJ-J001</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施工单位未取得安全生产许可证擅自从事水利工程建设经营活动；勘察（测）、设计、施工单位无资质或超越资质等级承揽、转包、违法分包工程；项目法人和施工单位未按规定设置安全生产管理机构或未按规定配备专职安全生产管理人员；施工单位主要负责人、项目负责人和专职安全生产管理人员未按规定持有效的安全生产考核合格证书；特种（设备）作业人员未取得特种作业人员操作资格证书上岗作业</w:t>
            </w:r>
          </w:p>
        </w:tc>
      </w:tr>
      <w:tr>
        <w:tblPrEx>
          <w:tblCellMar>
            <w:top w:w="0" w:type="dxa"/>
            <w:left w:w="108" w:type="dxa"/>
            <w:bottom w:w="0" w:type="dxa"/>
            <w:right w:w="108" w:type="dxa"/>
          </w:tblCellMar>
        </w:tblPrEx>
        <w:trPr>
          <w:trHeight w:val="1789"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w:t>
            </w:r>
          </w:p>
        </w:tc>
        <w:tc>
          <w:tcPr>
            <w:tcW w:w="975" w:type="dxa"/>
            <w:vMerge w:val="continue"/>
            <w:tcBorders>
              <w:top w:val="single" w:color="000000" w:sz="4" w:space="0"/>
              <w:left w:val="single" w:color="000000" w:sz="4" w:space="0"/>
              <w:bottom w:val="nil"/>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方案管理</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SJ-J002</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施工组织设计施工；未按规定编制和审批危险性较大的工程专项施工方案；超过一定规模的危险性较大单项工程的专项施工方案未按规定组织专家论证、审查擅自施工；未按批准的专项施工方案组织实施；需要验收的危险性较大的单项工程未经验收合格转入后续工程施工</w:t>
            </w:r>
          </w:p>
        </w:tc>
      </w:tr>
      <w:tr>
        <w:tblPrEx>
          <w:tblCellMar>
            <w:top w:w="0" w:type="dxa"/>
            <w:left w:w="108" w:type="dxa"/>
            <w:bottom w:w="0" w:type="dxa"/>
            <w:right w:w="108" w:type="dxa"/>
          </w:tblCellMar>
        </w:tblPrEx>
        <w:trPr>
          <w:trHeight w:val="913"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3</w:t>
            </w:r>
          </w:p>
        </w:tc>
        <w:tc>
          <w:tcPr>
            <w:tcW w:w="975"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临时</w:t>
            </w:r>
          </w:p>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工程</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营地及施工设施建设</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SJ-J003</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施工工厂区、施工（建设）管理及生活区、危险化学品仓库布置在洪水、雪崩、滑坡、泥石流、塌方及危石等危险区域</w:t>
            </w:r>
          </w:p>
        </w:tc>
      </w:tr>
      <w:tr>
        <w:tblPrEx>
          <w:tblCellMar>
            <w:top w:w="0" w:type="dxa"/>
            <w:left w:w="108" w:type="dxa"/>
            <w:bottom w:w="0" w:type="dxa"/>
            <w:right w:w="108" w:type="dxa"/>
          </w:tblCellMar>
        </w:tblPrEx>
        <w:trPr>
          <w:trHeight w:val="2079"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4</w:t>
            </w:r>
          </w:p>
        </w:tc>
        <w:tc>
          <w:tcPr>
            <w:tcW w:w="975" w:type="dxa"/>
            <w:vMerge w:val="continue"/>
            <w:tcBorders>
              <w:top w:val="single" w:color="000000" w:sz="4" w:space="0"/>
              <w:left w:val="single" w:color="000000" w:sz="4" w:space="0"/>
              <w:bottom w:val="nil"/>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临时设施</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SJ-J004</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宿舍、办公用房、厨房操作间、易燃易爆危险品库等消防重点部位安全距离不符合要求且未采取有效防护措施；宿舍、办公用房、厨房操作间、易燃易爆危险品库等建筑构件的燃烧性能等级未达到 A 级；宿舍、办公用房采用金属夹芯板材时，其芯材的燃烧性能等级未达到 A 级</w:t>
            </w:r>
          </w:p>
        </w:tc>
      </w:tr>
      <w:tr>
        <w:tblPrEx>
          <w:tblCellMar>
            <w:top w:w="0" w:type="dxa"/>
            <w:left w:w="108" w:type="dxa"/>
            <w:bottom w:w="0" w:type="dxa"/>
            <w:right w:w="108" w:type="dxa"/>
          </w:tblCellMar>
        </w:tblPrEx>
        <w:trPr>
          <w:trHeight w:val="621"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5</w:t>
            </w:r>
          </w:p>
        </w:tc>
        <w:tc>
          <w:tcPr>
            <w:tcW w:w="975" w:type="dxa"/>
            <w:vMerge w:val="continue"/>
            <w:tcBorders>
              <w:top w:val="single" w:color="000000" w:sz="4" w:space="0"/>
              <w:left w:val="single" w:color="000000" w:sz="4" w:space="0"/>
              <w:bottom w:val="nil"/>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围堰工程</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SJ-J005</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围堰不符合规范和设计要求；围堰位移及渗流量超过设计要求，且无有效管控措施</w:t>
            </w:r>
          </w:p>
        </w:tc>
      </w:tr>
      <w:tr>
        <w:tblPrEx>
          <w:tblCellMar>
            <w:top w:w="0" w:type="dxa"/>
            <w:left w:w="108" w:type="dxa"/>
            <w:bottom w:w="0" w:type="dxa"/>
            <w:right w:w="108" w:type="dxa"/>
          </w:tblCellMar>
        </w:tblPrEx>
        <w:trPr>
          <w:trHeight w:val="148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6</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专项</w:t>
            </w:r>
          </w:p>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工程</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临时用电</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SJ-J006</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施工现场专用的电源中性点直接接地的低压配电系统未采用TN-S接零保护系统；发电机组电源未与其他电源互相闭锁，并列运行；外电线路的安全距离不符合规范要求且未按规定采取防护措施</w:t>
            </w:r>
          </w:p>
        </w:tc>
      </w:tr>
      <w:tr>
        <w:tblPrEx>
          <w:tblCellMar>
            <w:top w:w="0" w:type="dxa"/>
            <w:left w:w="108" w:type="dxa"/>
            <w:bottom w:w="0" w:type="dxa"/>
            <w:right w:w="108" w:type="dxa"/>
          </w:tblCellMar>
        </w:tblPrEx>
        <w:trPr>
          <w:trHeight w:val="148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7</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脚手架</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SJ-J007</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达到或超过一定规模的作业脚手架和支撑脚手架的立杆基础承载力不符合专项施工方案的要求，且已有明显沉降；立杆采用搭接（作业脚手架顶步距除外）；未按专项施工方案设置连墙件</w:t>
            </w:r>
          </w:p>
        </w:tc>
      </w:tr>
      <w:tr>
        <w:tblPrEx>
          <w:tblCellMar>
            <w:top w:w="0" w:type="dxa"/>
            <w:left w:w="108" w:type="dxa"/>
            <w:bottom w:w="0" w:type="dxa"/>
            <w:right w:w="108" w:type="dxa"/>
          </w:tblCellMar>
        </w:tblPrEx>
        <w:trPr>
          <w:trHeight w:val="621"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8</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模板工程</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SJ-J008</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爬模、滑模和翻模施工脱模或混凝土承重模板拆除时，混凝土强度未达到规定值</w:t>
            </w:r>
          </w:p>
        </w:tc>
      </w:tr>
      <w:tr>
        <w:tblPrEx>
          <w:tblCellMar>
            <w:top w:w="0" w:type="dxa"/>
            <w:left w:w="108" w:type="dxa"/>
            <w:bottom w:w="0" w:type="dxa"/>
            <w:right w:w="108" w:type="dxa"/>
          </w:tblCellMar>
        </w:tblPrEx>
        <w:trPr>
          <w:trHeight w:val="601"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9</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危险物品</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SJ-J009</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运输、使用、保管和处置易燃易爆、雷管炸药等危险物品不符合安全要求</w:t>
            </w:r>
          </w:p>
        </w:tc>
      </w:tr>
      <w:tr>
        <w:tblPrEx>
          <w:tblCellMar>
            <w:top w:w="0" w:type="dxa"/>
            <w:left w:w="108" w:type="dxa"/>
            <w:bottom w:w="0" w:type="dxa"/>
            <w:right w:w="108" w:type="dxa"/>
          </w:tblCellMar>
        </w:tblPrEx>
        <w:trPr>
          <w:trHeight w:val="237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10</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起重吊装</w:t>
            </w:r>
          </w:p>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与运输</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SJ-J010</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起重机械未按规定经有相应资质的单位安装（拆除）或未经有相应资质的检验检测机构检验合格后投入使用；起重机械未配备荷载、变幅等指示装置和荷载、力矩、高度、行程等限位、限制及连锁装置；同一作业区两台及以上起重设备运行未制定防碰撞方案，且存在碰撞可能；隧洞竖（斜）井或沉井、人工挖孔桩井载人（货）提升机械未设置安全装置或安全装置不灵敏</w:t>
            </w:r>
          </w:p>
        </w:tc>
      </w:tr>
      <w:tr>
        <w:tblPrEx>
          <w:tblCellMar>
            <w:top w:w="0" w:type="dxa"/>
            <w:left w:w="108" w:type="dxa"/>
            <w:bottom w:w="0" w:type="dxa"/>
            <w:right w:w="108" w:type="dxa"/>
          </w:tblCellMar>
        </w:tblPrEx>
        <w:trPr>
          <w:trHeight w:val="1784"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11</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起重吊装</w:t>
            </w:r>
          </w:p>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与运输</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SJ-J011</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大中型水利水电工程金属结构施工采用临时钢梁、龙门架、天锚起吊闸门、钢管前，未对其结构和吊点进行设计计算、履行审批审查验收手续，未进行相应的负荷试验；闸门、钢管上的吊耳板、焊缝未经检查检测和强度验算投入使用</w:t>
            </w:r>
          </w:p>
        </w:tc>
      </w:tr>
      <w:tr>
        <w:tblPrEx>
          <w:tblCellMar>
            <w:top w:w="0" w:type="dxa"/>
            <w:left w:w="108" w:type="dxa"/>
            <w:bottom w:w="0" w:type="dxa"/>
            <w:right w:w="108" w:type="dxa"/>
          </w:tblCellMar>
        </w:tblPrEx>
        <w:trPr>
          <w:trHeight w:val="1423"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12</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高边坡、深基坑</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SJ-J012</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断层、裂隙、破碎带等不良地质构造的高边坡，未按设计要求及时采取支护措施或未经验收合格即进行下一梯段施工；深基坑土方开挖放坡坡度不满足其稳定性要求且未采取加固措施</w:t>
            </w:r>
          </w:p>
        </w:tc>
      </w:tr>
      <w:tr>
        <w:tblPrEx>
          <w:tblCellMar>
            <w:top w:w="0" w:type="dxa"/>
            <w:left w:w="108" w:type="dxa"/>
            <w:bottom w:w="0" w:type="dxa"/>
            <w:right w:w="108" w:type="dxa"/>
          </w:tblCellMar>
        </w:tblPrEx>
        <w:trPr>
          <w:trHeight w:val="44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13</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隧洞施工</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SJ-J013</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未按规定要求进行超前地质预报和监控测量；勘察设计与实际地质条件严重不符时，未进行动态勘察设计；监控测量数据异常变化，未采取措施处置；地下水丰富地段隧洞施工作业面带水施工无相应措施或控制措施失效时继续施工；矿山法施工仰拱一次开挖长度不符合方案要求、未及时封闭成环；矿山法施工仰拱、初期支护、二次衬砌与掌子面的距离不符合规范、设计或专项施工方案要求；矿山法施工未及时处理拱架背后脱空、二衬拱顶脱空问题；盾构施工盾尾密封失效仍冒险作业；盾构施工未按规定带压开仓检查换刀</w:t>
            </w:r>
          </w:p>
        </w:tc>
      </w:tr>
      <w:tr>
        <w:tblPrEx>
          <w:tblCellMar>
            <w:top w:w="0" w:type="dxa"/>
            <w:left w:w="108" w:type="dxa"/>
            <w:bottom w:w="0" w:type="dxa"/>
            <w:right w:w="108" w:type="dxa"/>
          </w:tblCellMar>
        </w:tblPrEx>
        <w:trPr>
          <w:trHeight w:val="913"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14</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隧洞施工</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SJ-J014</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爆破设计或未按爆破设计作业；无统一的爆破信号和爆破指挥，起爆前未进行安全条件确认；爆破后未进行检查确认，或未排险立即施工；隧洞施工运输车辆未定期检查，超重运输或使用货运车辆运送人员；未按规定设置应急通讯和报警系统；高瓦斯隧洞或瓦斯突出隧洞未按设计或方案进行揭煤防突，各开挖工作面未设置独立通风；高瓦斯或瓦斯突出的隧洞工程场所作业未使用防爆电器；洞室施工过程中，未对洞内有毒有害气体进行检测、监测；有毒有害气体达到或超过规定标准时未采取有效措施；隧洞内动火作业未按要求履行作业许可审批手续并安排专人监护</w:t>
            </w:r>
          </w:p>
        </w:tc>
      </w:tr>
      <w:tr>
        <w:tblPrEx>
          <w:tblCellMar>
            <w:top w:w="0" w:type="dxa"/>
            <w:left w:w="108" w:type="dxa"/>
            <w:bottom w:w="0" w:type="dxa"/>
            <w:right w:w="108" w:type="dxa"/>
          </w:tblCellMar>
        </w:tblPrEx>
        <w:trPr>
          <w:trHeight w:val="151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15</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设备安装</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SJ-J015</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蜗壳、机坑里衬安装时，搭设的施工平台（组装）未经检查验收即投入使用；在机坑中进行电焊、气割作业（如水机室、定子组装、上下机架组装）时，未设置隔离防护平台或铺设防火布，现场未配备消防器材</w:t>
            </w:r>
          </w:p>
        </w:tc>
      </w:tr>
      <w:tr>
        <w:tblPrEx>
          <w:tblCellMar>
            <w:top w:w="0" w:type="dxa"/>
            <w:left w:w="108" w:type="dxa"/>
            <w:bottom w:w="0" w:type="dxa"/>
            <w:right w:w="108" w:type="dxa"/>
          </w:tblCellMar>
        </w:tblPrEx>
        <w:trPr>
          <w:trHeight w:val="149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16</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水上作业</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SJ-J016</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未按规定设置必要的安全作业区或警戒区；水上作业施工船舶施工安全工作条件不符合船舶使用说明书和设备状况，未停止施工；挖泥船的实际工作条件大于SL 17—2014表5.7.9中所列数值，未停止施工</w:t>
            </w:r>
          </w:p>
        </w:tc>
      </w:tr>
      <w:tr>
        <w:tblPrEx>
          <w:tblCellMar>
            <w:top w:w="0" w:type="dxa"/>
            <w:left w:w="108" w:type="dxa"/>
            <w:bottom w:w="0" w:type="dxa"/>
            <w:right w:w="108" w:type="dxa"/>
          </w:tblCellMar>
        </w:tblPrEx>
        <w:trPr>
          <w:trHeight w:val="1498"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17</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其他</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防洪度汛</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SJ-J017</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有度汛要求的建设项目未按规定制定度汛方案和超标准洪水应急预案；工程进度不满足度汛要求时未制定和采取相应措施；位于自然地面或河水位以下的隧洞进出口未按施工期防洪标准设置围堰或预留岩坎</w:t>
            </w:r>
          </w:p>
        </w:tc>
      </w:tr>
      <w:tr>
        <w:tblPrEx>
          <w:tblCellMar>
            <w:top w:w="0" w:type="dxa"/>
            <w:left w:w="108" w:type="dxa"/>
            <w:bottom w:w="0" w:type="dxa"/>
            <w:right w:w="108" w:type="dxa"/>
          </w:tblCellMar>
        </w:tblPrEx>
        <w:trPr>
          <w:trHeight w:val="913"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18</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液氨制冷</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SJ-J018</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氨压机车间控制盘柜与氨压机未分开隔离布置；未设置、配备固定式氨气报警仪和便携式氨气检测仪；未设置应急疏散通道并明确标识</w:t>
            </w:r>
          </w:p>
        </w:tc>
      </w:tr>
      <w:tr>
        <w:tblPrEx>
          <w:tblCellMar>
            <w:top w:w="0" w:type="dxa"/>
            <w:left w:w="108" w:type="dxa"/>
            <w:bottom w:w="0" w:type="dxa"/>
            <w:right w:w="108" w:type="dxa"/>
          </w:tblCellMar>
        </w:tblPrEx>
        <w:trPr>
          <w:trHeight w:val="896"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19</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安全防护</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SJ-J019</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排架、井架、施工电梯、大坝廊道、隧洞等出入口和上部有施工作业的通道，未按规定设置防护棚</w:t>
            </w:r>
          </w:p>
        </w:tc>
      </w:tr>
      <w:tr>
        <w:tblPrEx>
          <w:tblCellMar>
            <w:top w:w="0" w:type="dxa"/>
            <w:left w:w="108" w:type="dxa"/>
            <w:bottom w:w="0" w:type="dxa"/>
            <w:right w:w="108" w:type="dxa"/>
          </w:tblCellMar>
        </w:tblPrEx>
        <w:trPr>
          <w:trHeight w:val="949"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20</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kern w:val="0"/>
                <w:sz w:val="24"/>
                <w:szCs w:val="24"/>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设备检修</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SJ-J020</w:t>
            </w:r>
          </w:p>
        </w:tc>
        <w:tc>
          <w:tcPr>
            <w:tcW w:w="49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混凝土（水泥土、水泥稳定土）拌合机进筒（罐、斗）检修、TBM及盾构设备刀盘检维修时未切断电源或开关箱未上锁且无人监管</w:t>
            </w:r>
          </w:p>
        </w:tc>
      </w:tr>
    </w:tbl>
    <w:p>
      <w:pPr>
        <w:widowControl/>
        <w:jc w:val="left"/>
        <w:rPr>
          <w:rFonts w:ascii="Calibri" w:hAnsi="Calibri" w:eastAsia="仿宋_GB2312" w:cs="Times New Roman"/>
          <w:kern w:val="0"/>
          <w:sz w:val="32"/>
          <w:szCs w:val="20"/>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p>
      <w:pPr>
        <w:widowControl/>
        <w:snapToGrid w:val="0"/>
        <w:rPr>
          <w:rFonts w:ascii="仿宋" w:hAnsi="仿宋" w:eastAsia="仿宋"/>
          <w:sz w:val="32"/>
          <w:szCs w:val="32"/>
        </w:rPr>
      </w:pPr>
    </w:p>
    <w:p>
      <w:pPr>
        <w:widowControl/>
        <w:snapToGrid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kern w:val="0"/>
          <w:sz w:val="36"/>
          <w:szCs w:val="36"/>
        </w:rPr>
        <w:t>水利工程运行管理</w:t>
      </w:r>
      <w:r>
        <w:rPr>
          <w:rFonts w:hint="eastAsia" w:ascii="方正小标宋简体" w:hAnsi="方正小标宋简体" w:eastAsia="方正小标宋简体" w:cs="方正小标宋简体"/>
          <w:kern w:val="0"/>
          <w:sz w:val="36"/>
          <w:szCs w:val="36"/>
        </w:rPr>
        <w:t>生产安全重大事故隐患清单指南</w:t>
      </w:r>
    </w:p>
    <w:p>
      <w:pPr>
        <w:widowControl/>
        <w:snapToGrid w:val="0"/>
        <w:jc w:val="center"/>
        <w:rPr>
          <w:rFonts w:ascii="Calibri" w:hAnsi="Calibri" w:eastAsia="仿宋_GB2312" w:cs="Times New Roman"/>
          <w:kern w:val="0"/>
          <w:sz w:val="36"/>
          <w:szCs w:val="36"/>
        </w:rPr>
      </w:pPr>
    </w:p>
    <w:tbl>
      <w:tblPr>
        <w:tblStyle w:val="3"/>
        <w:tblW w:w="9356" w:type="dxa"/>
        <w:tblInd w:w="-34" w:type="dxa"/>
        <w:tblLayout w:type="autofit"/>
        <w:tblCellMar>
          <w:top w:w="0" w:type="dxa"/>
          <w:left w:w="108" w:type="dxa"/>
          <w:bottom w:w="0" w:type="dxa"/>
          <w:right w:w="108" w:type="dxa"/>
        </w:tblCellMar>
      </w:tblPr>
      <w:tblGrid>
        <w:gridCol w:w="659"/>
        <w:gridCol w:w="1273"/>
        <w:gridCol w:w="1612"/>
        <w:gridCol w:w="5812"/>
      </w:tblGrid>
      <w:tr>
        <w:tblPrEx>
          <w:tblCellMar>
            <w:top w:w="0" w:type="dxa"/>
            <w:left w:w="108" w:type="dxa"/>
            <w:bottom w:w="0" w:type="dxa"/>
            <w:right w:w="108" w:type="dxa"/>
          </w:tblCellMar>
        </w:tblPrEx>
        <w:trPr>
          <w:trHeight w:val="804" w:hRule="atLeast"/>
          <w:tblHead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序号</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管理</w:t>
            </w:r>
          </w:p>
          <w:p>
            <w:pPr>
              <w:widowControl/>
              <w:adjustRightInd w:val="0"/>
              <w:snapToGrid w:val="0"/>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对象</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kern w:val="0"/>
                <w:sz w:val="28"/>
                <w:szCs w:val="28"/>
              </w:rPr>
            </w:pPr>
            <w:r>
              <w:rPr>
                <w:rFonts w:hint="eastAsia" w:ascii="黑体" w:hAnsi="宋体" w:eastAsia="黑体" w:cs="黑体"/>
                <w:kern w:val="0"/>
                <w:sz w:val="28"/>
                <w:szCs w:val="28"/>
              </w:rPr>
              <w:t>隐患编号</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隐患内容</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27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水利工程通用</w:t>
            </w:r>
          </w:p>
        </w:tc>
        <w:tc>
          <w:tcPr>
            <w:tcW w:w="1612"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SY-T001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有泄洪要求的闸门不能正常启闭；泄水建筑物堵塞，无法正常泄洪；启闭机自动控制系统失效</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1273" w:type="dxa"/>
            <w:vMerge w:val="continue"/>
            <w:tcBorders>
              <w:top w:val="single" w:color="000000" w:sz="4" w:space="0"/>
              <w:left w:val="single" w:color="000000" w:sz="4" w:space="0"/>
              <w:bottom w:val="nil"/>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SY-T002</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有防洪要求的工程未按照设计和规范设置监测、观测设施或监测、观测设施严重缺失；未开展监测观测</w:t>
            </w:r>
          </w:p>
        </w:tc>
      </w:tr>
      <w:tr>
        <w:tblPrEx>
          <w:tblCellMar>
            <w:top w:w="0" w:type="dxa"/>
            <w:left w:w="108" w:type="dxa"/>
            <w:bottom w:w="0" w:type="dxa"/>
            <w:right w:w="108" w:type="dxa"/>
          </w:tblCellMar>
        </w:tblPrEx>
        <w:trPr>
          <w:trHeight w:val="50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p>
        </w:tc>
        <w:tc>
          <w:tcPr>
            <w:tcW w:w="127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水库大坝工程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SY-K001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大坝安全鉴定为三类坝，未采取有效管控措施</w:t>
            </w:r>
          </w:p>
        </w:tc>
      </w:tr>
      <w:tr>
        <w:tblPrEx>
          <w:tblCellMar>
            <w:top w:w="0" w:type="dxa"/>
            <w:left w:w="108" w:type="dxa"/>
            <w:bottom w:w="0" w:type="dxa"/>
            <w:right w:w="108" w:type="dxa"/>
          </w:tblCellMar>
        </w:tblPrEx>
        <w:trPr>
          <w:trHeight w:val="129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SY-K002</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大</w:t>
            </w:r>
            <w:r>
              <w:rPr>
                <w:rFonts w:ascii="仿宋_GB2312" w:hAnsi="宋体" w:eastAsia="仿宋_GB2312" w:cs="仿宋_GB2312"/>
                <w:color w:val="000000"/>
                <w:kern w:val="0"/>
                <w:sz w:val="24"/>
                <w:szCs w:val="24"/>
              </w:rPr>
              <w:t>坝防渗和反滤排水设施存在严重缺陷；大坝渗流压力与渗流量变化异常；坝基扬压力明显高于设计值，复核抗滑安全系数不满足规范要求；运行中已出现流土、漏洞、管涌、接触渗漏等严重渗流异常现象；大坝超高不满足规范要求；水库泄洪能力不满足规范要求；水库防洪能力不足</w:t>
            </w:r>
          </w:p>
        </w:tc>
      </w:tr>
      <w:tr>
        <w:tblPrEx>
          <w:tblCellMar>
            <w:top w:w="0" w:type="dxa"/>
            <w:left w:w="108" w:type="dxa"/>
            <w:bottom w:w="0" w:type="dxa"/>
            <w:right w:w="108" w:type="dxa"/>
          </w:tblCellMar>
        </w:tblPrEx>
        <w:trPr>
          <w:trHeight w:val="973"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SY-K003</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大坝及泄水、输水等建筑物的强度、稳定、泄流安全不满足规范要求，存在危及工程安全的异常变形或近坝岸坡不稳定</w:t>
            </w:r>
          </w:p>
        </w:tc>
      </w:tr>
      <w:tr>
        <w:tblPrEx>
          <w:tblCellMar>
            <w:top w:w="0" w:type="dxa"/>
            <w:left w:w="108" w:type="dxa"/>
            <w:bottom w:w="0" w:type="dxa"/>
            <w:right w:w="108" w:type="dxa"/>
          </w:tblCellMar>
        </w:tblPrEx>
        <w:trPr>
          <w:trHeight w:val="10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6</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SY-K004</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有泄洪要求的闸门、启闭机等金属结构安全检测结果为“不安全”，强度、刚度及稳定性不满足规范要求；或维护不善，变形、锈蚀、磨损严重，不能正常运行</w:t>
            </w:r>
          </w:p>
        </w:tc>
      </w:tr>
      <w:tr>
        <w:tblPrEx>
          <w:tblCellMar>
            <w:top w:w="0" w:type="dxa"/>
            <w:left w:w="108" w:type="dxa"/>
            <w:bottom w:w="0" w:type="dxa"/>
            <w:right w:w="108" w:type="dxa"/>
          </w:tblCellMar>
        </w:tblPrEx>
        <w:trPr>
          <w:trHeight w:val="65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SY-K005</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未经批准擅自调高水库汛限水位；水库未经蓄水验收即投入使用</w:t>
            </w:r>
          </w:p>
        </w:tc>
      </w:tr>
      <w:tr>
        <w:tblPrEx>
          <w:tblCellMar>
            <w:top w:w="0" w:type="dxa"/>
            <w:left w:w="108" w:type="dxa"/>
            <w:bottom w:w="0" w:type="dxa"/>
            <w:right w:w="108" w:type="dxa"/>
          </w:tblCellMar>
        </w:tblPrEx>
        <w:trPr>
          <w:trHeight w:val="48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w:t>
            </w:r>
          </w:p>
        </w:tc>
        <w:tc>
          <w:tcPr>
            <w:tcW w:w="1273" w:type="dxa"/>
            <w:vMerge w:val="restart"/>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水电站</w:t>
            </w:r>
          </w:p>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SY-D001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小型水电站安全评价为C类，未采取有效管控措施</w:t>
            </w:r>
          </w:p>
        </w:tc>
      </w:tr>
      <w:tr>
        <w:tblPrEx>
          <w:tblCellMar>
            <w:top w:w="0" w:type="dxa"/>
            <w:left w:w="108" w:type="dxa"/>
            <w:bottom w:w="0" w:type="dxa"/>
            <w:right w:w="108" w:type="dxa"/>
          </w:tblCellMar>
        </w:tblPrEx>
        <w:trPr>
          <w:trHeight w:val="1296" w:hRule="atLeast"/>
        </w:trPr>
        <w:tc>
          <w:tcPr>
            <w:tcW w:w="659"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w:t>
            </w:r>
          </w:p>
        </w:tc>
        <w:tc>
          <w:tcPr>
            <w:tcW w:w="1273" w:type="dxa"/>
            <w:vMerge w:val="continue"/>
            <w:tcBorders>
              <w:top w:val="single" w:color="000000" w:sz="4" w:space="0"/>
              <w:left w:val="single" w:color="000000" w:sz="4" w:space="0"/>
              <w:bottom w:val="nil"/>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SY-D002</w:t>
            </w:r>
          </w:p>
        </w:tc>
        <w:tc>
          <w:tcPr>
            <w:tcW w:w="5812" w:type="dxa"/>
            <w:tcBorders>
              <w:top w:val="single" w:color="000000" w:sz="4" w:space="0"/>
              <w:left w:val="single" w:color="000000" w:sz="4" w:space="0"/>
              <w:bottom w:val="nil"/>
              <w:right w:val="single" w:color="000000" w:sz="4" w:space="0"/>
            </w:tcBorders>
            <w:vAlign w:val="center"/>
          </w:tcPr>
          <w:p>
            <w:pPr>
              <w:widowControl/>
              <w:adjustRightInd w:val="0"/>
              <w:snapToGrid w:val="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主要发供电设备异常运行已达到规程标准的紧急停运条件而未停止运行；可能出现六氟化硫泄漏、聚集的场所，未设置监测报警及通风装置；有限空间作业未经审批或未开展有限空间气体检测</w:t>
            </w:r>
          </w:p>
        </w:tc>
      </w:tr>
      <w:tr>
        <w:tblPrEx>
          <w:tblCellMar>
            <w:top w:w="0" w:type="dxa"/>
            <w:left w:w="108" w:type="dxa"/>
            <w:bottom w:w="0" w:type="dxa"/>
            <w:right w:w="108" w:type="dxa"/>
          </w:tblCellMar>
        </w:tblPrEx>
        <w:trPr>
          <w:trHeight w:val="52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w:t>
            </w:r>
          </w:p>
        </w:tc>
        <w:tc>
          <w:tcPr>
            <w:tcW w:w="1273"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泵站</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SY-B001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泵站综合评定为三类、四类，未采取有效管控措施</w:t>
            </w:r>
          </w:p>
        </w:tc>
      </w:tr>
      <w:tr>
        <w:tblPrEx>
          <w:tblCellMar>
            <w:top w:w="0" w:type="dxa"/>
            <w:left w:w="108" w:type="dxa"/>
            <w:bottom w:w="0" w:type="dxa"/>
            <w:right w:w="108" w:type="dxa"/>
          </w:tblCellMar>
        </w:tblPrEx>
        <w:trPr>
          <w:trHeight w:val="47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w:t>
            </w:r>
          </w:p>
        </w:tc>
        <w:tc>
          <w:tcPr>
            <w:tcW w:w="127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水闸工程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SY-Z001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水闸安全鉴定为三类、四类闸，未采取有效管控措施</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12</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SY-Z002</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水闸的主体结构不均匀沉降、垂直位移、水平位移超出允许值，可能导致整体失稳；止水系统破坏</w:t>
            </w:r>
          </w:p>
        </w:tc>
      </w:tr>
      <w:tr>
        <w:tblPrEx>
          <w:tblCellMar>
            <w:top w:w="0" w:type="dxa"/>
            <w:left w:w="108" w:type="dxa"/>
            <w:bottom w:w="0" w:type="dxa"/>
            <w:right w:w="108" w:type="dxa"/>
          </w:tblCellMar>
        </w:tblPrEx>
        <w:trPr>
          <w:trHeight w:val="73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13</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SY-Z003</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水闸监测发现铺盖、底板、上下游连接段底部淘空存在失稳的可能</w:t>
            </w:r>
          </w:p>
        </w:tc>
      </w:tr>
      <w:tr>
        <w:tblPrEx>
          <w:tblCellMar>
            <w:top w:w="0" w:type="dxa"/>
            <w:left w:w="108" w:type="dxa"/>
            <w:bottom w:w="0" w:type="dxa"/>
            <w:right w:w="108" w:type="dxa"/>
          </w:tblCellMar>
        </w:tblPrEx>
        <w:trPr>
          <w:trHeight w:val="35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14</w:t>
            </w:r>
          </w:p>
        </w:tc>
        <w:tc>
          <w:tcPr>
            <w:tcW w:w="127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堤防工程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SY-F001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堤防安全综合评价为三类，未采取有效管控措施</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15</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SY-F002</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堤防渗流坡降和覆盖层盖重不满足标准的要求，或工程已出现严重渗流异常现象</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16</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SY-F003</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堤防及防护</w:t>
            </w:r>
            <w:r>
              <w:rPr>
                <w:rFonts w:ascii="仿宋_GB2312" w:hAnsi="宋体" w:eastAsia="仿宋_GB2312" w:cs="仿宋_GB2312"/>
                <w:color w:val="000000"/>
                <w:kern w:val="0"/>
                <w:sz w:val="24"/>
                <w:szCs w:val="24"/>
              </w:rPr>
              <w:t>结构稳定性不满足规范要求，或已发现危及堤防稳定的现象</w:t>
            </w:r>
          </w:p>
        </w:tc>
      </w:tr>
      <w:tr>
        <w:tblPrEx>
          <w:tblCellMar>
            <w:top w:w="0" w:type="dxa"/>
            <w:left w:w="108" w:type="dxa"/>
            <w:bottom w:w="0" w:type="dxa"/>
            <w:right w:w="108" w:type="dxa"/>
          </w:tblCellMar>
        </w:tblPrEx>
        <w:trPr>
          <w:trHeight w:val="10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17</w:t>
            </w:r>
          </w:p>
        </w:tc>
        <w:tc>
          <w:tcPr>
            <w:tcW w:w="127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引调水及灌区工程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SY-YG001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渡槽及跨渠建筑物地基沉降量超过设计要求；排架倾斜较大，水下基础露空较大，超过设计要求；渡槽结构主体裂缝多，碳化破损严重，止水失效，漏水严重</w:t>
            </w:r>
          </w:p>
        </w:tc>
      </w:tr>
      <w:tr>
        <w:tblPrEx>
          <w:tblCellMar>
            <w:top w:w="0" w:type="dxa"/>
            <w:left w:w="108" w:type="dxa"/>
            <w:bottom w:w="0" w:type="dxa"/>
            <w:right w:w="108" w:type="dxa"/>
          </w:tblCellMar>
        </w:tblPrEx>
        <w:trPr>
          <w:trHeight w:val="35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18</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SY-YG002</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隧洞洞脸边坡不稳定；隧洞围岩或支护结构严重变形</w:t>
            </w:r>
          </w:p>
        </w:tc>
      </w:tr>
      <w:tr>
        <w:tblPrEx>
          <w:tblCellMar>
            <w:top w:w="0" w:type="dxa"/>
            <w:left w:w="108" w:type="dxa"/>
            <w:bottom w:w="0" w:type="dxa"/>
            <w:right w:w="108" w:type="dxa"/>
          </w:tblCellMar>
        </w:tblPrEx>
        <w:trPr>
          <w:trHeight w:val="69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19</w:t>
            </w: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_GB2312" w:hAnsi="宋体" w:eastAsia="仿宋_GB2312" w:cs="仿宋_GB2312"/>
                <w:color w:val="000000"/>
                <w:kern w:val="0"/>
                <w:sz w:val="24"/>
                <w:szCs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SY-YG003</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高填方或傍山渠坡出现管涌等渗透破坏现象或塌陷、边坡失稳等现象</w:t>
            </w:r>
          </w:p>
        </w:tc>
      </w:tr>
      <w:tr>
        <w:tblPrEx>
          <w:tblCellMar>
            <w:top w:w="0" w:type="dxa"/>
            <w:left w:w="108" w:type="dxa"/>
            <w:bottom w:w="0" w:type="dxa"/>
            <w:right w:w="108" w:type="dxa"/>
          </w:tblCellMar>
        </w:tblPrEx>
        <w:trPr>
          <w:trHeight w:val="194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20</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淤地坝工程</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SY-NK001</w:t>
            </w:r>
          </w:p>
        </w:tc>
        <w:tc>
          <w:tcPr>
            <w:tcW w:w="58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下游影响范围有村庄、学校、工矿等的大中型淤地坝无溢洪道或无放水设施；坝体坝肩出现贯通性横向裂缝或纵向滑动性裂缝；坝坡出现破坏性滑坡、塌陷、冲沟，坝体出现冲缺、管涌、流土；放水建筑物（卧管、竖井、涵洞、涵管等）或溢洪道出现损毁、断裂、坍塌、基部掏刷、悬空</w:t>
            </w:r>
          </w:p>
        </w:tc>
      </w:tr>
    </w:tbl>
    <w:p>
      <w:pPr>
        <w:ind w:firstLine="640" w:firstLineChars="200"/>
        <w:rPr>
          <w:rFonts w:ascii="仿宋" w:hAnsi="仿宋" w:eastAsia="仿宋"/>
          <w:sz w:val="32"/>
          <w:szCs w:val="32"/>
        </w:rPr>
      </w:pPr>
    </w:p>
    <w:sectPr>
      <w:headerReference r:id="rId3" w:type="default"/>
      <w:footerReference r:id="rId4" w:type="default"/>
      <w:pgSz w:w="11906" w:h="16838"/>
      <w:pgMar w:top="96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70360"/>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77"/>
    <w:rsid w:val="0007076F"/>
    <w:rsid w:val="0009347B"/>
    <w:rsid w:val="00111C89"/>
    <w:rsid w:val="001E5C5E"/>
    <w:rsid w:val="001F4FB6"/>
    <w:rsid w:val="002044B6"/>
    <w:rsid w:val="00240ABF"/>
    <w:rsid w:val="0026713B"/>
    <w:rsid w:val="003058B9"/>
    <w:rsid w:val="00343BE9"/>
    <w:rsid w:val="003B7628"/>
    <w:rsid w:val="003F5160"/>
    <w:rsid w:val="00406C6F"/>
    <w:rsid w:val="00435F71"/>
    <w:rsid w:val="00573C80"/>
    <w:rsid w:val="005D63DC"/>
    <w:rsid w:val="005F4274"/>
    <w:rsid w:val="00674429"/>
    <w:rsid w:val="006A2F5B"/>
    <w:rsid w:val="006E1677"/>
    <w:rsid w:val="006F6D18"/>
    <w:rsid w:val="008027E5"/>
    <w:rsid w:val="00864988"/>
    <w:rsid w:val="009052C5"/>
    <w:rsid w:val="009A7E8F"/>
    <w:rsid w:val="00A609F1"/>
    <w:rsid w:val="00AB6160"/>
    <w:rsid w:val="00B261D6"/>
    <w:rsid w:val="00B32E34"/>
    <w:rsid w:val="00B32EE4"/>
    <w:rsid w:val="00C16D6C"/>
    <w:rsid w:val="00C33EB3"/>
    <w:rsid w:val="00CE0E34"/>
    <w:rsid w:val="00CF05E8"/>
    <w:rsid w:val="00CF323F"/>
    <w:rsid w:val="00D10BDD"/>
    <w:rsid w:val="00D13698"/>
    <w:rsid w:val="00D21EFD"/>
    <w:rsid w:val="00D316E2"/>
    <w:rsid w:val="00D332F7"/>
    <w:rsid w:val="00DE29C2"/>
    <w:rsid w:val="00DF63DD"/>
    <w:rsid w:val="00E570C7"/>
    <w:rsid w:val="00E86C07"/>
    <w:rsid w:val="00ED257E"/>
    <w:rsid w:val="00EE317E"/>
    <w:rsid w:val="00FB0284"/>
    <w:rsid w:val="00FD5DF3"/>
    <w:rsid w:val="00FF01A7"/>
    <w:rsid w:val="00FF0496"/>
    <w:rsid w:val="3F0208A4"/>
    <w:rsid w:val="44A1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632</Words>
  <Characters>3607</Characters>
  <Lines>30</Lines>
  <Paragraphs>8</Paragraphs>
  <TotalTime>1518</TotalTime>
  <ScaleCrop>false</ScaleCrop>
  <LinksUpToDate>false</LinksUpToDate>
  <CharactersWithSpaces>4231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2024-04-08T03:30:00Z</dcterms:created>
  <dc:creator>闵杰</dc:creator>
  <cp:lastModifiedBy>十</cp:lastModifiedBy>
  <cp:lastPrinted>2024-05-17T02:43:00Z</cp:lastPrinted>
  <dcterms:modified xsi:type="dcterms:W3CDTF">2024-05-17T03:37:13Z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